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B617A" w14:textId="6903EF5C" w:rsidR="00637408" w:rsidRPr="00637408" w:rsidRDefault="00637408" w:rsidP="00637408">
      <w:pPr>
        <w:ind w:firstLine="720"/>
        <w:jc w:val="both"/>
        <w:rPr>
          <w:rFonts w:ascii="Cambria" w:hAnsi="Cambria"/>
          <w:b/>
          <w:bCs/>
          <w:sz w:val="28"/>
          <w:szCs w:val="28"/>
        </w:rPr>
      </w:pPr>
      <w:r>
        <w:rPr>
          <w:rFonts w:ascii="Cambria" w:hAnsi="Cambria"/>
        </w:rPr>
        <w:t xml:space="preserve">                    </w:t>
      </w:r>
      <w:r w:rsidRPr="00637408">
        <w:rPr>
          <w:rFonts w:ascii="Cambria" w:hAnsi="Cambria"/>
          <w:b/>
          <w:bCs/>
          <w:sz w:val="28"/>
          <w:szCs w:val="28"/>
        </w:rPr>
        <w:t xml:space="preserve">HOW TO SUBMIT RESPONSIVE TENDERS </w:t>
      </w:r>
    </w:p>
    <w:p w14:paraId="469DC548" w14:textId="3DB6CC14" w:rsidR="00637408" w:rsidRDefault="00637408" w:rsidP="00637408">
      <w:pPr>
        <w:jc w:val="both"/>
        <w:rPr>
          <w:rFonts w:ascii="Cambria" w:hAnsi="Cambria"/>
        </w:rPr>
      </w:pPr>
      <w:r>
        <w:rPr>
          <w:rFonts w:ascii="Cambria" w:hAnsi="Cambria"/>
        </w:rPr>
        <w:t xml:space="preserve">By </w:t>
      </w:r>
      <w:proofErr w:type="spellStart"/>
      <w:r>
        <w:rPr>
          <w:rFonts w:ascii="Cambria" w:hAnsi="Cambria"/>
        </w:rPr>
        <w:t>Inutu</w:t>
      </w:r>
      <w:proofErr w:type="spellEnd"/>
      <w:r>
        <w:rPr>
          <w:rFonts w:ascii="Cambria" w:hAnsi="Cambria"/>
        </w:rPr>
        <w:t xml:space="preserve"> Mushambatwa </w:t>
      </w:r>
    </w:p>
    <w:p w14:paraId="2255603A" w14:textId="2E888687" w:rsidR="00637408" w:rsidRPr="0018036B" w:rsidRDefault="00637408" w:rsidP="00637408">
      <w:pPr>
        <w:jc w:val="both"/>
        <w:rPr>
          <w:rFonts w:ascii="Cambria" w:hAnsi="Cambria"/>
        </w:rPr>
      </w:pPr>
      <w:r>
        <w:rPr>
          <w:rFonts w:ascii="Cambria" w:hAnsi="Cambria"/>
        </w:rPr>
        <w:t>The Zambia Public Procurement Authority (</w:t>
      </w:r>
      <w:r w:rsidRPr="0018036B">
        <w:rPr>
          <w:rFonts w:ascii="Cambria" w:hAnsi="Cambria"/>
        </w:rPr>
        <w:t>ZPPA</w:t>
      </w:r>
      <w:r>
        <w:rPr>
          <w:rFonts w:ascii="Cambria" w:hAnsi="Cambria"/>
        </w:rPr>
        <w:t>)</w:t>
      </w:r>
      <w:r w:rsidRPr="0018036B">
        <w:rPr>
          <w:rFonts w:ascii="Cambria" w:hAnsi="Cambria"/>
        </w:rPr>
        <w:t xml:space="preserve"> among other functions is responsible for capacity building of both procurement professionals and suppliers. Capacity building is aimed at enhancing public procurement skills and knowledge of procurement professionals and suppliers in public procurement processes. One key process of concern to suppliers, bidders and contractors, is the tendering process. A tender in simple terms means an invitation to offer goods, works, and services to a procuring entity.</w:t>
      </w:r>
    </w:p>
    <w:p w14:paraId="4059521C" w14:textId="77777777" w:rsidR="00637408" w:rsidRPr="0018036B" w:rsidRDefault="00637408" w:rsidP="00637408">
      <w:pPr>
        <w:jc w:val="both"/>
        <w:rPr>
          <w:rFonts w:ascii="Cambria" w:hAnsi="Cambria"/>
        </w:rPr>
      </w:pPr>
      <w:r w:rsidRPr="0018036B">
        <w:rPr>
          <w:rFonts w:ascii="Cambria" w:hAnsi="Cambria"/>
        </w:rPr>
        <w:t>In responding to tenders, bidders should understand the laws governing public procurement in Zambia which is the Public Procurement Act and the Public Procurement Regulations.</w:t>
      </w:r>
    </w:p>
    <w:p w14:paraId="3DAFC920" w14:textId="77777777" w:rsidR="00637408" w:rsidRPr="0018036B" w:rsidRDefault="00637408" w:rsidP="00637408">
      <w:pPr>
        <w:jc w:val="both"/>
        <w:rPr>
          <w:rFonts w:ascii="Cambria" w:hAnsi="Cambria"/>
        </w:rPr>
      </w:pPr>
      <w:proofErr w:type="gramStart"/>
      <w:r w:rsidRPr="0018036B">
        <w:rPr>
          <w:rFonts w:ascii="Cambria" w:hAnsi="Cambria"/>
        </w:rPr>
        <w:t>In order to</w:t>
      </w:r>
      <w:proofErr w:type="gramEnd"/>
      <w:r w:rsidRPr="0018036B">
        <w:rPr>
          <w:rFonts w:ascii="Cambria" w:hAnsi="Cambria"/>
        </w:rPr>
        <w:t xml:space="preserve"> submit responsive bids, it is important that bidders adhere to the following guidelines: </w:t>
      </w:r>
    </w:p>
    <w:p w14:paraId="1BC39902" w14:textId="77777777" w:rsidR="00637408" w:rsidRPr="0018036B" w:rsidRDefault="00637408" w:rsidP="00637408">
      <w:pPr>
        <w:pStyle w:val="ListParagraph"/>
        <w:numPr>
          <w:ilvl w:val="0"/>
          <w:numId w:val="1"/>
        </w:numPr>
        <w:jc w:val="both"/>
        <w:rPr>
          <w:rFonts w:ascii="Cambria" w:hAnsi="Cambria"/>
        </w:rPr>
      </w:pPr>
      <w:r w:rsidRPr="0018036B">
        <w:rPr>
          <w:rFonts w:ascii="Cambria" w:hAnsi="Cambria"/>
        </w:rPr>
        <w:t>A bidder must fully understand the specific procurement requirements from a procuring entity. This includes knowing whether a bidder has the competencies to deliver what is required. If not, a bidder should enhance his or her competencies through partnering with fellow bidders.</w:t>
      </w:r>
    </w:p>
    <w:p w14:paraId="39D1A709" w14:textId="77777777" w:rsidR="00637408" w:rsidRPr="0018036B" w:rsidRDefault="00637408" w:rsidP="00637408">
      <w:pPr>
        <w:pStyle w:val="ListParagraph"/>
        <w:numPr>
          <w:ilvl w:val="0"/>
          <w:numId w:val="1"/>
        </w:numPr>
        <w:jc w:val="both"/>
        <w:rPr>
          <w:rFonts w:ascii="Cambria" w:hAnsi="Cambria"/>
        </w:rPr>
      </w:pPr>
      <w:r w:rsidRPr="0018036B">
        <w:rPr>
          <w:rFonts w:ascii="Cambria" w:hAnsi="Cambria"/>
        </w:rPr>
        <w:t>If you are a newly established company and do not meet the required number of years and experience, ensure the following is done:</w:t>
      </w:r>
    </w:p>
    <w:p w14:paraId="3B01DEC9" w14:textId="77777777" w:rsidR="00637408" w:rsidRDefault="00637408" w:rsidP="00637408">
      <w:pPr>
        <w:pStyle w:val="ListParagraph"/>
        <w:ind w:left="765"/>
        <w:jc w:val="both"/>
        <w:rPr>
          <w:rFonts w:ascii="Cambria" w:hAnsi="Cambria"/>
        </w:rPr>
      </w:pPr>
      <w:r w:rsidRPr="0018036B">
        <w:rPr>
          <w:rFonts w:ascii="Cambria" w:hAnsi="Cambria"/>
        </w:rPr>
        <w:t xml:space="preserve">  • provide a summary of arrangements or agreements in place with other </w:t>
      </w:r>
      <w:r>
        <w:rPr>
          <w:rFonts w:ascii="Cambria" w:hAnsi="Cambria"/>
        </w:rPr>
        <w:t xml:space="preserve"> </w:t>
      </w:r>
    </w:p>
    <w:p w14:paraId="51CC88AE" w14:textId="77777777" w:rsidR="00637408" w:rsidRPr="0018036B" w:rsidRDefault="00637408" w:rsidP="00637408">
      <w:pPr>
        <w:pStyle w:val="ListParagraph"/>
        <w:ind w:left="765"/>
        <w:jc w:val="both"/>
        <w:rPr>
          <w:rFonts w:ascii="Cambria" w:hAnsi="Cambria"/>
        </w:rPr>
      </w:pPr>
      <w:r>
        <w:rPr>
          <w:rFonts w:ascii="Cambria" w:hAnsi="Cambria"/>
        </w:rPr>
        <w:t xml:space="preserve">     </w:t>
      </w:r>
      <w:r w:rsidRPr="0018036B">
        <w:rPr>
          <w:rFonts w:ascii="Cambria" w:hAnsi="Cambria"/>
        </w:rPr>
        <w:t xml:space="preserve">companies that complement your </w:t>
      </w:r>
      <w:proofErr w:type="gramStart"/>
      <w:r w:rsidRPr="0018036B">
        <w:rPr>
          <w:rFonts w:ascii="Cambria" w:hAnsi="Cambria"/>
        </w:rPr>
        <w:t>expertise;</w:t>
      </w:r>
      <w:proofErr w:type="gramEnd"/>
    </w:p>
    <w:p w14:paraId="2EA455E0" w14:textId="77777777" w:rsidR="00637408" w:rsidRDefault="00637408" w:rsidP="00637408">
      <w:pPr>
        <w:pStyle w:val="ListParagraph"/>
        <w:ind w:left="765"/>
        <w:jc w:val="both"/>
        <w:rPr>
          <w:rFonts w:ascii="Cambria" w:hAnsi="Cambria"/>
        </w:rPr>
      </w:pPr>
      <w:r w:rsidRPr="0018036B">
        <w:rPr>
          <w:rFonts w:ascii="Cambria" w:hAnsi="Cambria"/>
        </w:rPr>
        <w:t xml:space="preserve">  • provide a summary of descriptions of relevant experience of predecessor</w:t>
      </w:r>
    </w:p>
    <w:p w14:paraId="717F43F8" w14:textId="77777777" w:rsidR="00637408" w:rsidRPr="0018036B" w:rsidRDefault="00637408" w:rsidP="00637408">
      <w:pPr>
        <w:pStyle w:val="ListParagraph"/>
        <w:ind w:left="765"/>
        <w:jc w:val="both"/>
        <w:rPr>
          <w:rFonts w:ascii="Cambria" w:hAnsi="Cambria"/>
        </w:rPr>
      </w:pPr>
      <w:r>
        <w:rPr>
          <w:rFonts w:ascii="Cambria" w:hAnsi="Cambria"/>
        </w:rPr>
        <w:t xml:space="preserve">  </w:t>
      </w:r>
      <w:r w:rsidRPr="0018036B">
        <w:rPr>
          <w:rFonts w:ascii="Cambria" w:hAnsi="Cambria"/>
        </w:rPr>
        <w:t xml:space="preserve"> companies or key </w:t>
      </w:r>
      <w:proofErr w:type="gramStart"/>
      <w:r w:rsidRPr="0018036B">
        <w:rPr>
          <w:rFonts w:ascii="Cambria" w:hAnsi="Cambria"/>
        </w:rPr>
        <w:t>personnel;</w:t>
      </w:r>
      <w:proofErr w:type="gramEnd"/>
    </w:p>
    <w:p w14:paraId="3A5F79E1" w14:textId="77777777" w:rsidR="00637408" w:rsidRPr="0018036B" w:rsidRDefault="00637408" w:rsidP="00637408">
      <w:pPr>
        <w:pStyle w:val="ListParagraph"/>
        <w:ind w:left="765"/>
        <w:jc w:val="both"/>
        <w:rPr>
          <w:rFonts w:ascii="Cambria" w:hAnsi="Cambria"/>
        </w:rPr>
      </w:pPr>
      <w:r w:rsidRPr="0018036B">
        <w:rPr>
          <w:rFonts w:ascii="Cambria" w:hAnsi="Cambria"/>
        </w:rPr>
        <w:t xml:space="preserve">  • consider starting as a sub-consultant or sub-</w:t>
      </w:r>
      <w:proofErr w:type="gramStart"/>
      <w:r w:rsidRPr="0018036B">
        <w:rPr>
          <w:rFonts w:ascii="Cambria" w:hAnsi="Cambria"/>
        </w:rPr>
        <w:t>contractor;</w:t>
      </w:r>
      <w:proofErr w:type="gramEnd"/>
    </w:p>
    <w:p w14:paraId="7BD37F15" w14:textId="77777777" w:rsidR="00637408" w:rsidRPr="0018036B" w:rsidRDefault="00637408" w:rsidP="00637408">
      <w:pPr>
        <w:pStyle w:val="ListParagraph"/>
        <w:numPr>
          <w:ilvl w:val="0"/>
          <w:numId w:val="1"/>
        </w:numPr>
        <w:jc w:val="both"/>
        <w:rPr>
          <w:rFonts w:ascii="Cambria" w:hAnsi="Cambria"/>
        </w:rPr>
      </w:pPr>
      <w:r w:rsidRPr="0018036B">
        <w:rPr>
          <w:rFonts w:ascii="Cambria" w:hAnsi="Cambria"/>
        </w:rPr>
        <w:t xml:space="preserve">Do not rush to buy the solicitation document (SD). Download a copy of the SD for you to make an assessment on whether you can </w:t>
      </w:r>
      <w:proofErr w:type="gramStart"/>
      <w:r w:rsidRPr="0018036B">
        <w:rPr>
          <w:rFonts w:ascii="Cambria" w:hAnsi="Cambria"/>
        </w:rPr>
        <w:t>bid;</w:t>
      </w:r>
      <w:proofErr w:type="gramEnd"/>
    </w:p>
    <w:p w14:paraId="7BBF3A5E" w14:textId="77777777" w:rsidR="00637408" w:rsidRPr="0018036B" w:rsidRDefault="00637408" w:rsidP="00637408">
      <w:pPr>
        <w:pStyle w:val="ListParagraph"/>
        <w:numPr>
          <w:ilvl w:val="0"/>
          <w:numId w:val="1"/>
        </w:numPr>
        <w:jc w:val="both"/>
        <w:rPr>
          <w:rFonts w:ascii="Cambria" w:hAnsi="Cambria"/>
        </w:rPr>
      </w:pPr>
      <w:r w:rsidRPr="0018036B">
        <w:rPr>
          <w:rFonts w:ascii="Cambria" w:hAnsi="Cambria"/>
        </w:rPr>
        <w:t xml:space="preserve">Read the SD in its </w:t>
      </w:r>
      <w:proofErr w:type="gramStart"/>
      <w:r w:rsidRPr="0018036B">
        <w:rPr>
          <w:rFonts w:ascii="Cambria" w:hAnsi="Cambria"/>
        </w:rPr>
        <w:t>entirety;</w:t>
      </w:r>
      <w:proofErr w:type="gramEnd"/>
    </w:p>
    <w:p w14:paraId="722F1E28" w14:textId="77777777" w:rsidR="00637408" w:rsidRPr="0018036B" w:rsidRDefault="00637408" w:rsidP="00637408">
      <w:pPr>
        <w:pStyle w:val="ListParagraph"/>
        <w:numPr>
          <w:ilvl w:val="0"/>
          <w:numId w:val="1"/>
        </w:numPr>
        <w:jc w:val="both"/>
        <w:rPr>
          <w:rFonts w:ascii="Cambria" w:hAnsi="Cambria"/>
        </w:rPr>
      </w:pPr>
      <w:r w:rsidRPr="0018036B">
        <w:rPr>
          <w:rFonts w:ascii="Cambria" w:hAnsi="Cambria"/>
        </w:rPr>
        <w:t>Pay particular attention and NOTE cardinal issues in the instructions to bidders and the Bid Data Sheet,</w:t>
      </w:r>
    </w:p>
    <w:p w14:paraId="33B69EC9" w14:textId="77777777" w:rsidR="00637408" w:rsidRDefault="00637408" w:rsidP="00637408">
      <w:pPr>
        <w:pStyle w:val="ListParagraph"/>
        <w:numPr>
          <w:ilvl w:val="0"/>
          <w:numId w:val="1"/>
        </w:numPr>
        <w:jc w:val="both"/>
        <w:rPr>
          <w:rFonts w:ascii="Cambria" w:hAnsi="Cambria"/>
        </w:rPr>
      </w:pPr>
      <w:r w:rsidRPr="0018036B">
        <w:rPr>
          <w:rFonts w:ascii="Cambria" w:hAnsi="Cambria"/>
        </w:rPr>
        <w:t xml:space="preserve">Conditions of </w:t>
      </w:r>
      <w:proofErr w:type="gramStart"/>
      <w:r w:rsidRPr="0018036B">
        <w:rPr>
          <w:rFonts w:ascii="Cambria" w:hAnsi="Cambria"/>
        </w:rPr>
        <w:t>Contract;</w:t>
      </w:r>
      <w:proofErr w:type="gramEnd"/>
      <w:r w:rsidRPr="0018036B">
        <w:rPr>
          <w:rFonts w:ascii="Cambria" w:hAnsi="Cambria"/>
        </w:rPr>
        <w:t xml:space="preserve"> </w:t>
      </w:r>
    </w:p>
    <w:p w14:paraId="14A4E809" w14:textId="693D4B06" w:rsidR="00637408" w:rsidRPr="0018036B" w:rsidRDefault="00637408" w:rsidP="00637408">
      <w:pPr>
        <w:pStyle w:val="ListParagraph"/>
        <w:numPr>
          <w:ilvl w:val="0"/>
          <w:numId w:val="1"/>
        </w:numPr>
        <w:jc w:val="both"/>
        <w:rPr>
          <w:rFonts w:ascii="Cambria" w:hAnsi="Cambria"/>
        </w:rPr>
      </w:pPr>
      <w:r>
        <w:rPr>
          <w:rFonts w:ascii="Cambria" w:hAnsi="Cambria"/>
        </w:rPr>
        <w:t>Provide s</w:t>
      </w:r>
      <w:r w:rsidRPr="0018036B">
        <w:rPr>
          <w:rFonts w:ascii="Cambria" w:hAnsi="Cambria"/>
        </w:rPr>
        <w:t>pecification</w:t>
      </w:r>
      <w:r>
        <w:rPr>
          <w:rFonts w:ascii="Cambria" w:hAnsi="Cambria"/>
        </w:rPr>
        <w:t>s</w:t>
      </w:r>
      <w:r w:rsidRPr="0018036B">
        <w:rPr>
          <w:rFonts w:ascii="Cambria" w:hAnsi="Cambria"/>
        </w:rPr>
        <w:t xml:space="preserve"> and Delivery </w:t>
      </w:r>
      <w:proofErr w:type="gramStart"/>
      <w:r w:rsidRPr="0018036B">
        <w:rPr>
          <w:rFonts w:ascii="Cambria" w:hAnsi="Cambria"/>
        </w:rPr>
        <w:t>Schedules;</w:t>
      </w:r>
      <w:proofErr w:type="gramEnd"/>
    </w:p>
    <w:p w14:paraId="15664C5B" w14:textId="77777777" w:rsidR="00637408" w:rsidRPr="0018036B" w:rsidRDefault="00637408" w:rsidP="00637408">
      <w:pPr>
        <w:pStyle w:val="ListParagraph"/>
        <w:numPr>
          <w:ilvl w:val="0"/>
          <w:numId w:val="1"/>
        </w:numPr>
        <w:jc w:val="both"/>
        <w:rPr>
          <w:rFonts w:ascii="Cambria" w:hAnsi="Cambria"/>
        </w:rPr>
      </w:pPr>
      <w:r w:rsidRPr="0018036B">
        <w:rPr>
          <w:rFonts w:ascii="Cambria" w:hAnsi="Cambria"/>
        </w:rPr>
        <w:t xml:space="preserve">Isolate or mark mandatory </w:t>
      </w:r>
      <w:proofErr w:type="gramStart"/>
      <w:r w:rsidRPr="0018036B">
        <w:rPr>
          <w:rFonts w:ascii="Cambria" w:hAnsi="Cambria"/>
        </w:rPr>
        <w:t>requirements;</w:t>
      </w:r>
      <w:proofErr w:type="gramEnd"/>
    </w:p>
    <w:p w14:paraId="108C038C" w14:textId="77777777" w:rsidR="00637408" w:rsidRPr="0018036B" w:rsidRDefault="00637408" w:rsidP="00637408">
      <w:pPr>
        <w:pStyle w:val="ListParagraph"/>
        <w:numPr>
          <w:ilvl w:val="0"/>
          <w:numId w:val="1"/>
        </w:numPr>
        <w:jc w:val="both"/>
        <w:rPr>
          <w:rFonts w:ascii="Cambria" w:hAnsi="Cambria"/>
        </w:rPr>
      </w:pPr>
      <w:r w:rsidRPr="0018036B">
        <w:rPr>
          <w:rFonts w:ascii="Cambria" w:hAnsi="Cambria"/>
        </w:rPr>
        <w:t xml:space="preserve">Take note of the Do’s and </w:t>
      </w:r>
      <w:proofErr w:type="gramStart"/>
      <w:r w:rsidRPr="0018036B">
        <w:rPr>
          <w:rFonts w:ascii="Cambria" w:hAnsi="Cambria"/>
        </w:rPr>
        <w:t>Don’ts;</w:t>
      </w:r>
      <w:proofErr w:type="gramEnd"/>
    </w:p>
    <w:p w14:paraId="6670C615" w14:textId="77777777" w:rsidR="00637408" w:rsidRPr="0018036B" w:rsidRDefault="00637408" w:rsidP="00637408">
      <w:pPr>
        <w:pStyle w:val="ListParagraph"/>
        <w:numPr>
          <w:ilvl w:val="0"/>
          <w:numId w:val="1"/>
        </w:numPr>
        <w:jc w:val="both"/>
        <w:rPr>
          <w:rFonts w:ascii="Cambria" w:hAnsi="Cambria"/>
        </w:rPr>
      </w:pPr>
      <w:r w:rsidRPr="0018036B">
        <w:rPr>
          <w:rFonts w:ascii="Cambria" w:hAnsi="Cambria"/>
        </w:rPr>
        <w:t xml:space="preserve">Only buy the document when you are certain to participate in a tender within the given time. Soft copies are available without any </w:t>
      </w:r>
      <w:proofErr w:type="gramStart"/>
      <w:r w:rsidRPr="0018036B">
        <w:rPr>
          <w:rFonts w:ascii="Cambria" w:hAnsi="Cambria"/>
        </w:rPr>
        <w:t>charge;</w:t>
      </w:r>
      <w:proofErr w:type="gramEnd"/>
    </w:p>
    <w:p w14:paraId="0F6C04A0" w14:textId="77777777" w:rsidR="00637408" w:rsidRPr="0018036B" w:rsidRDefault="00637408" w:rsidP="00637408">
      <w:pPr>
        <w:pStyle w:val="ListParagraph"/>
        <w:numPr>
          <w:ilvl w:val="0"/>
          <w:numId w:val="1"/>
        </w:numPr>
        <w:jc w:val="both"/>
        <w:rPr>
          <w:rFonts w:ascii="Cambria" w:hAnsi="Cambria"/>
        </w:rPr>
      </w:pPr>
      <w:r w:rsidRPr="0018036B">
        <w:rPr>
          <w:rFonts w:ascii="Cambria" w:hAnsi="Cambria"/>
        </w:rPr>
        <w:t xml:space="preserve"> Seek clarifications in writing on anything that is unclear or unreasonable within the given time </w:t>
      </w:r>
      <w:proofErr w:type="gramStart"/>
      <w:r w:rsidRPr="0018036B">
        <w:rPr>
          <w:rFonts w:ascii="Cambria" w:hAnsi="Cambria"/>
        </w:rPr>
        <w:t>including;</w:t>
      </w:r>
      <w:proofErr w:type="gramEnd"/>
      <w:r w:rsidRPr="0018036B">
        <w:rPr>
          <w:rFonts w:ascii="Cambria" w:hAnsi="Cambria"/>
        </w:rPr>
        <w:t xml:space="preserve"> unfair specifications; discriminatory criteria; and unfair /restrictive evaluation criteria;</w:t>
      </w:r>
    </w:p>
    <w:p w14:paraId="3DFA1E4E" w14:textId="77777777" w:rsidR="00637408" w:rsidRPr="0018036B" w:rsidRDefault="00637408" w:rsidP="00637408">
      <w:pPr>
        <w:pStyle w:val="ListParagraph"/>
        <w:numPr>
          <w:ilvl w:val="0"/>
          <w:numId w:val="1"/>
        </w:numPr>
        <w:jc w:val="both"/>
        <w:rPr>
          <w:rFonts w:ascii="Cambria" w:hAnsi="Cambria"/>
        </w:rPr>
      </w:pPr>
      <w:r w:rsidRPr="0018036B">
        <w:rPr>
          <w:rFonts w:ascii="Cambria" w:hAnsi="Cambria"/>
        </w:rPr>
        <w:t xml:space="preserve"> Ensure your bid is submitted on </w:t>
      </w:r>
      <w:proofErr w:type="gramStart"/>
      <w:r w:rsidRPr="0018036B">
        <w:rPr>
          <w:rFonts w:ascii="Cambria" w:hAnsi="Cambria"/>
        </w:rPr>
        <w:t>time;</w:t>
      </w:r>
      <w:proofErr w:type="gramEnd"/>
    </w:p>
    <w:p w14:paraId="3F69684F" w14:textId="77777777" w:rsidR="00637408" w:rsidRPr="0018036B" w:rsidRDefault="00637408" w:rsidP="00637408">
      <w:pPr>
        <w:pStyle w:val="ListParagraph"/>
        <w:numPr>
          <w:ilvl w:val="0"/>
          <w:numId w:val="1"/>
        </w:numPr>
        <w:jc w:val="both"/>
        <w:rPr>
          <w:rFonts w:ascii="Cambria" w:hAnsi="Cambria"/>
        </w:rPr>
      </w:pPr>
      <w:r w:rsidRPr="0018036B">
        <w:rPr>
          <w:rFonts w:ascii="Cambria" w:hAnsi="Cambria"/>
        </w:rPr>
        <w:t xml:space="preserve"> Attend the bid opening just to make sure all is well with your </w:t>
      </w:r>
      <w:proofErr w:type="gramStart"/>
      <w:r w:rsidRPr="0018036B">
        <w:rPr>
          <w:rFonts w:ascii="Cambria" w:hAnsi="Cambria"/>
        </w:rPr>
        <w:t>bid;</w:t>
      </w:r>
      <w:proofErr w:type="gramEnd"/>
    </w:p>
    <w:p w14:paraId="49D36D99" w14:textId="77777777" w:rsidR="00637408" w:rsidRPr="0018036B" w:rsidRDefault="00637408" w:rsidP="00637408">
      <w:pPr>
        <w:pStyle w:val="ListParagraph"/>
        <w:numPr>
          <w:ilvl w:val="0"/>
          <w:numId w:val="1"/>
        </w:numPr>
        <w:jc w:val="both"/>
        <w:rPr>
          <w:rFonts w:ascii="Cambria" w:hAnsi="Cambria"/>
        </w:rPr>
      </w:pPr>
      <w:r w:rsidRPr="0018036B">
        <w:rPr>
          <w:rFonts w:ascii="Cambria" w:hAnsi="Cambria"/>
        </w:rPr>
        <w:lastRenderedPageBreak/>
        <w:t xml:space="preserve">Take notes during the bid opening </w:t>
      </w:r>
      <w:proofErr w:type="gramStart"/>
      <w:r w:rsidRPr="0018036B">
        <w:rPr>
          <w:rFonts w:ascii="Cambria" w:hAnsi="Cambria"/>
        </w:rPr>
        <w:t>meeting;</w:t>
      </w:r>
      <w:proofErr w:type="gramEnd"/>
    </w:p>
    <w:p w14:paraId="4F206AB0" w14:textId="77777777" w:rsidR="00637408" w:rsidRPr="0018036B" w:rsidRDefault="00637408" w:rsidP="00637408">
      <w:pPr>
        <w:pStyle w:val="ListParagraph"/>
        <w:numPr>
          <w:ilvl w:val="0"/>
          <w:numId w:val="1"/>
        </w:numPr>
        <w:jc w:val="both"/>
        <w:rPr>
          <w:rFonts w:ascii="Cambria" w:hAnsi="Cambria"/>
        </w:rPr>
      </w:pPr>
      <w:r w:rsidRPr="0018036B">
        <w:rPr>
          <w:rFonts w:ascii="Cambria" w:hAnsi="Cambria"/>
        </w:rPr>
        <w:t xml:space="preserve">Respond to requests for clarifications or negotiations on time when requested to do </w:t>
      </w:r>
      <w:proofErr w:type="gramStart"/>
      <w:r w:rsidRPr="0018036B">
        <w:rPr>
          <w:rFonts w:ascii="Cambria" w:hAnsi="Cambria"/>
        </w:rPr>
        <w:t>so;</w:t>
      </w:r>
      <w:proofErr w:type="gramEnd"/>
    </w:p>
    <w:p w14:paraId="29A9AF31" w14:textId="77777777" w:rsidR="00637408" w:rsidRPr="0018036B" w:rsidRDefault="00637408" w:rsidP="00637408">
      <w:pPr>
        <w:pStyle w:val="ListParagraph"/>
        <w:numPr>
          <w:ilvl w:val="0"/>
          <w:numId w:val="1"/>
        </w:numPr>
        <w:jc w:val="both"/>
        <w:rPr>
          <w:rFonts w:ascii="Cambria" w:hAnsi="Cambria"/>
        </w:rPr>
      </w:pPr>
      <w:r w:rsidRPr="0018036B">
        <w:rPr>
          <w:rFonts w:ascii="Cambria" w:hAnsi="Cambria"/>
        </w:rPr>
        <w:t xml:space="preserve"> For tenders where your company did not make it, get to know the reasons and </w:t>
      </w:r>
      <w:r>
        <w:rPr>
          <w:rFonts w:ascii="Cambria" w:hAnsi="Cambria"/>
        </w:rPr>
        <w:t xml:space="preserve">  </w:t>
      </w:r>
      <w:r w:rsidRPr="0018036B">
        <w:rPr>
          <w:rFonts w:ascii="Cambria" w:hAnsi="Cambria"/>
        </w:rPr>
        <w:t>address them in future bids</w:t>
      </w:r>
      <w:r>
        <w:rPr>
          <w:rFonts w:ascii="Cambria" w:hAnsi="Cambria"/>
        </w:rPr>
        <w:t xml:space="preserve"> by requesting for a debrief from the procuring entity</w:t>
      </w:r>
      <w:r w:rsidRPr="0018036B">
        <w:rPr>
          <w:rFonts w:ascii="Cambria" w:hAnsi="Cambria"/>
        </w:rPr>
        <w:t>; and</w:t>
      </w:r>
    </w:p>
    <w:p w14:paraId="6DB2A8B0" w14:textId="77777777" w:rsidR="00637408" w:rsidRDefault="00637408" w:rsidP="00637408">
      <w:pPr>
        <w:pStyle w:val="ListParagraph"/>
        <w:numPr>
          <w:ilvl w:val="0"/>
          <w:numId w:val="1"/>
        </w:numPr>
        <w:jc w:val="both"/>
        <w:rPr>
          <w:rFonts w:ascii="Cambria" w:hAnsi="Cambria"/>
        </w:rPr>
      </w:pPr>
      <w:r w:rsidRPr="0018036B">
        <w:rPr>
          <w:rFonts w:ascii="Cambria" w:hAnsi="Cambria"/>
        </w:rPr>
        <w:t>If you are not happy with any aspect of the tendering process, lodge a formal appeal to ZPPA against the decision. The application should be submitted within five (5) working days from the date the bidder submitting the application was informed of or became aware of the circumstances giving rise to the application or from the date the bidder should have become aware of those circumstances.</w:t>
      </w:r>
    </w:p>
    <w:p w14:paraId="22923D79" w14:textId="77777777" w:rsidR="00637408" w:rsidRDefault="00637408"/>
    <w:sectPr w:rsidR="006374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34A5D"/>
    <w:multiLevelType w:val="hybridMultilevel"/>
    <w:tmpl w:val="FBD6E6BC"/>
    <w:lvl w:ilvl="0" w:tplc="2000000F">
      <w:start w:val="1"/>
      <w:numFmt w:val="decimal"/>
      <w:lvlText w:val="%1."/>
      <w:lvlJc w:val="left"/>
      <w:pPr>
        <w:ind w:left="765" w:hanging="360"/>
      </w:pPr>
    </w:lvl>
    <w:lvl w:ilvl="1" w:tplc="20000019" w:tentative="1">
      <w:start w:val="1"/>
      <w:numFmt w:val="lowerLetter"/>
      <w:lvlText w:val="%2."/>
      <w:lvlJc w:val="left"/>
      <w:pPr>
        <w:ind w:left="1485" w:hanging="360"/>
      </w:pPr>
    </w:lvl>
    <w:lvl w:ilvl="2" w:tplc="2000001B" w:tentative="1">
      <w:start w:val="1"/>
      <w:numFmt w:val="lowerRoman"/>
      <w:lvlText w:val="%3."/>
      <w:lvlJc w:val="right"/>
      <w:pPr>
        <w:ind w:left="2205" w:hanging="180"/>
      </w:pPr>
    </w:lvl>
    <w:lvl w:ilvl="3" w:tplc="2000000F" w:tentative="1">
      <w:start w:val="1"/>
      <w:numFmt w:val="decimal"/>
      <w:lvlText w:val="%4."/>
      <w:lvlJc w:val="left"/>
      <w:pPr>
        <w:ind w:left="2925" w:hanging="360"/>
      </w:pPr>
    </w:lvl>
    <w:lvl w:ilvl="4" w:tplc="20000019" w:tentative="1">
      <w:start w:val="1"/>
      <w:numFmt w:val="lowerLetter"/>
      <w:lvlText w:val="%5."/>
      <w:lvlJc w:val="left"/>
      <w:pPr>
        <w:ind w:left="3645" w:hanging="360"/>
      </w:pPr>
    </w:lvl>
    <w:lvl w:ilvl="5" w:tplc="2000001B" w:tentative="1">
      <w:start w:val="1"/>
      <w:numFmt w:val="lowerRoman"/>
      <w:lvlText w:val="%6."/>
      <w:lvlJc w:val="right"/>
      <w:pPr>
        <w:ind w:left="4365" w:hanging="180"/>
      </w:pPr>
    </w:lvl>
    <w:lvl w:ilvl="6" w:tplc="2000000F" w:tentative="1">
      <w:start w:val="1"/>
      <w:numFmt w:val="decimal"/>
      <w:lvlText w:val="%7."/>
      <w:lvlJc w:val="left"/>
      <w:pPr>
        <w:ind w:left="5085" w:hanging="360"/>
      </w:pPr>
    </w:lvl>
    <w:lvl w:ilvl="7" w:tplc="20000019" w:tentative="1">
      <w:start w:val="1"/>
      <w:numFmt w:val="lowerLetter"/>
      <w:lvlText w:val="%8."/>
      <w:lvlJc w:val="left"/>
      <w:pPr>
        <w:ind w:left="5805" w:hanging="360"/>
      </w:pPr>
    </w:lvl>
    <w:lvl w:ilvl="8" w:tplc="2000001B" w:tentative="1">
      <w:start w:val="1"/>
      <w:numFmt w:val="lowerRoman"/>
      <w:lvlText w:val="%9."/>
      <w:lvlJc w:val="right"/>
      <w:pPr>
        <w:ind w:left="6525" w:hanging="180"/>
      </w:pPr>
    </w:lvl>
  </w:abstractNum>
  <w:num w:numId="1" w16cid:durableId="161613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08"/>
    <w:rsid w:val="00637408"/>
    <w:rsid w:val="00B47C0C"/>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3BA8"/>
  <w15:chartTrackingRefBased/>
  <w15:docId w15:val="{9F47AF82-D577-4522-B191-0F320A8B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408"/>
    <w:rPr>
      <w:lang w:val="en-ZM"/>
    </w:rPr>
  </w:style>
  <w:style w:type="paragraph" w:styleId="Heading1">
    <w:name w:val="heading 1"/>
    <w:basedOn w:val="Normal"/>
    <w:next w:val="Normal"/>
    <w:link w:val="Heading1Char"/>
    <w:uiPriority w:val="9"/>
    <w:qFormat/>
    <w:rsid w:val="00637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408"/>
    <w:rPr>
      <w:rFonts w:eastAsiaTheme="majorEastAsia" w:cstheme="majorBidi"/>
      <w:color w:val="272727" w:themeColor="text1" w:themeTint="D8"/>
    </w:rPr>
  </w:style>
  <w:style w:type="paragraph" w:styleId="Title">
    <w:name w:val="Title"/>
    <w:basedOn w:val="Normal"/>
    <w:next w:val="Normal"/>
    <w:link w:val="TitleChar"/>
    <w:uiPriority w:val="10"/>
    <w:qFormat/>
    <w:rsid w:val="00637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408"/>
    <w:pPr>
      <w:spacing w:before="160"/>
      <w:jc w:val="center"/>
    </w:pPr>
    <w:rPr>
      <w:i/>
      <w:iCs/>
      <w:color w:val="404040" w:themeColor="text1" w:themeTint="BF"/>
    </w:rPr>
  </w:style>
  <w:style w:type="character" w:customStyle="1" w:styleId="QuoteChar">
    <w:name w:val="Quote Char"/>
    <w:basedOn w:val="DefaultParagraphFont"/>
    <w:link w:val="Quote"/>
    <w:uiPriority w:val="29"/>
    <w:rsid w:val="00637408"/>
    <w:rPr>
      <w:i/>
      <w:iCs/>
      <w:color w:val="404040" w:themeColor="text1" w:themeTint="BF"/>
    </w:rPr>
  </w:style>
  <w:style w:type="paragraph" w:styleId="ListParagraph">
    <w:name w:val="List Paragraph"/>
    <w:basedOn w:val="Normal"/>
    <w:uiPriority w:val="34"/>
    <w:qFormat/>
    <w:rsid w:val="00637408"/>
    <w:pPr>
      <w:ind w:left="720"/>
      <w:contextualSpacing/>
    </w:pPr>
  </w:style>
  <w:style w:type="character" w:styleId="IntenseEmphasis">
    <w:name w:val="Intense Emphasis"/>
    <w:basedOn w:val="DefaultParagraphFont"/>
    <w:uiPriority w:val="21"/>
    <w:qFormat/>
    <w:rsid w:val="00637408"/>
    <w:rPr>
      <w:i/>
      <w:iCs/>
      <w:color w:val="0F4761" w:themeColor="accent1" w:themeShade="BF"/>
    </w:rPr>
  </w:style>
  <w:style w:type="paragraph" w:styleId="IntenseQuote">
    <w:name w:val="Intense Quote"/>
    <w:basedOn w:val="Normal"/>
    <w:next w:val="Normal"/>
    <w:link w:val="IntenseQuoteChar"/>
    <w:uiPriority w:val="30"/>
    <w:qFormat/>
    <w:rsid w:val="00637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408"/>
    <w:rPr>
      <w:i/>
      <w:iCs/>
      <w:color w:val="0F4761" w:themeColor="accent1" w:themeShade="BF"/>
    </w:rPr>
  </w:style>
  <w:style w:type="character" w:styleId="IntenseReference">
    <w:name w:val="Intense Reference"/>
    <w:basedOn w:val="DefaultParagraphFont"/>
    <w:uiPriority w:val="32"/>
    <w:qFormat/>
    <w:rsid w:val="006374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Lumbe</dc:creator>
  <cp:keywords/>
  <dc:description/>
  <cp:lastModifiedBy>Lucy Lumbe</cp:lastModifiedBy>
  <cp:revision>1</cp:revision>
  <dcterms:created xsi:type="dcterms:W3CDTF">2024-11-09T15:31:00Z</dcterms:created>
  <dcterms:modified xsi:type="dcterms:W3CDTF">2024-11-09T15:34:00Z</dcterms:modified>
</cp:coreProperties>
</file>